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F3" w14:textId="4ED8FB73" w:rsidR="001A2C08" w:rsidRPr="000D3687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proofErr w:type="gramStart"/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0D3687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</w:t>
      </w:r>
      <w:proofErr w:type="gramEnd"/>
      <w:r w:rsidRPr="000D3687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m²</w:t>
      </w:r>
      <w:r w:rsidRPr="000D3687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0D3687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 xml:space="preserve">Rockfon® </w:t>
      </w:r>
      <w:r w:rsidR="00F84F50"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Lamella</w:t>
      </w:r>
      <w:r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™_NL</w:t>
      </w:r>
    </w:p>
    <w:p w14:paraId="3E732150" w14:textId="28BE7426" w:rsidR="001A2C08" w:rsidRDefault="001A2C08" w:rsidP="001A2C08">
      <w:pPr>
        <w:spacing w:after="240" w:line="240" w:lineRule="auto"/>
        <w:rPr>
          <w:rFonts w:cstheme="minorHAnsi"/>
          <w:b/>
          <w:noProof/>
          <w:sz w:val="20"/>
          <w:szCs w:val="20"/>
          <w:u w:val="single"/>
          <w:lang w:val="nl-NL"/>
        </w:rPr>
      </w:pPr>
      <w:r w:rsidRPr="00251948">
        <w:rPr>
          <w:rFonts w:cstheme="minorHAnsi"/>
          <w:b/>
          <w:sz w:val="20"/>
          <w:szCs w:val="20"/>
          <w:u w:val="single"/>
        </w:rPr>
        <w:t>00.00.00</w:t>
      </w:r>
      <w:r w:rsidRPr="00251948">
        <w:rPr>
          <w:rFonts w:cstheme="minorHAnsi"/>
          <w:b/>
          <w:sz w:val="20"/>
          <w:szCs w:val="20"/>
          <w:u w:val="single"/>
        </w:rPr>
        <w:tab/>
      </w:r>
      <w:proofErr w:type="gramStart"/>
      <w:r w:rsidRPr="00251948">
        <w:rPr>
          <w:rFonts w:cstheme="minorHAnsi"/>
          <w:b/>
          <w:sz w:val="20"/>
          <w:szCs w:val="20"/>
          <w:u w:val="single"/>
        </w:rPr>
        <w:t>Systeem</w:t>
      </w:r>
      <w:r w:rsidR="0084535B" w:rsidRPr="00251948">
        <w:rPr>
          <w:rFonts w:cstheme="minorHAnsi"/>
          <w:b/>
          <w:sz w:val="20"/>
          <w:szCs w:val="20"/>
          <w:u w:val="single"/>
        </w:rPr>
        <w:t>wand</w:t>
      </w:r>
      <w:r w:rsidRPr="00251948">
        <w:rPr>
          <w:rStyle w:val="MeetChar"/>
          <w:rFonts w:cstheme="minorHAnsi"/>
          <w:b/>
          <w:color w:val="auto"/>
          <w:sz w:val="20"/>
          <w:szCs w:val="20"/>
          <w:u w:val="single"/>
        </w:rPr>
        <w:t xml:space="preserve">  FH</w:t>
      </w:r>
      <w:proofErr w:type="gramEnd"/>
      <w:r w:rsidRPr="00251948">
        <w:rPr>
          <w:rStyle w:val="MeetChar"/>
          <w:rFonts w:cstheme="minorHAnsi"/>
          <w:b/>
          <w:color w:val="auto"/>
          <w:sz w:val="20"/>
          <w:szCs w:val="20"/>
          <w:u w:val="single"/>
        </w:rPr>
        <w:t xml:space="preserve">  m²</w:t>
      </w:r>
      <w:r w:rsidRPr="00251948">
        <w:rPr>
          <w:rStyle w:val="RevisieDatum"/>
          <w:rFonts w:cstheme="minorHAnsi"/>
          <w:b/>
          <w:sz w:val="20"/>
          <w:szCs w:val="20"/>
          <w:u w:val="single"/>
        </w:rPr>
        <w:t xml:space="preserve"> </w:t>
      </w:r>
      <w:r w:rsidRPr="00251948">
        <w:rPr>
          <w:rStyle w:val="Referentie"/>
          <w:rFonts w:cstheme="minorHAnsi"/>
          <w:b/>
          <w:color w:val="auto"/>
          <w:sz w:val="20"/>
          <w:szCs w:val="20"/>
          <w:u w:val="single"/>
        </w:rPr>
        <w:t xml:space="preserve"> </w:t>
      </w:r>
      <w:r w:rsidRPr="00251948">
        <w:rPr>
          <w:rFonts w:cstheme="minorHAnsi"/>
          <w:b/>
          <w:noProof/>
          <w:sz w:val="20"/>
          <w:szCs w:val="20"/>
          <w:u w:val="single"/>
        </w:rPr>
        <w:t xml:space="preserve">Rockfon® </w:t>
      </w:r>
      <w:r w:rsidR="00F84F50" w:rsidRPr="00251948">
        <w:rPr>
          <w:rFonts w:cstheme="minorHAnsi"/>
          <w:b/>
          <w:noProof/>
          <w:sz w:val="20"/>
          <w:szCs w:val="20"/>
          <w:u w:val="single"/>
        </w:rPr>
        <w:t>Lamella</w:t>
      </w:r>
      <w:r w:rsidRPr="00251948">
        <w:rPr>
          <w:rFonts w:cstheme="minorHAnsi"/>
          <w:b/>
          <w:noProof/>
          <w:sz w:val="20"/>
          <w:szCs w:val="20"/>
          <w:u w:val="single"/>
        </w:rPr>
        <w:t>™</w:t>
      </w:r>
      <w:r w:rsidR="00D1116F" w:rsidRPr="00251948">
        <w:rPr>
          <w:rFonts w:cstheme="minorHAnsi"/>
          <w:b/>
          <w:noProof/>
          <w:sz w:val="20"/>
          <w:szCs w:val="20"/>
          <w:u w:val="single"/>
        </w:rPr>
        <w:t xml:space="preserve"> </w:t>
      </w:r>
      <w:r w:rsidR="00D1116F" w:rsidRPr="00D1116F">
        <w:rPr>
          <w:rFonts w:cstheme="minorHAnsi"/>
          <w:b/>
          <w:noProof/>
          <w:sz w:val="20"/>
          <w:szCs w:val="20"/>
          <w:u w:val="single"/>
          <w:lang w:val="nl-NL"/>
        </w:rPr>
        <w:t>2418 mm x 2474 mm</w:t>
      </w:r>
    </w:p>
    <w:p w14:paraId="7F4E2927" w14:textId="4C68F956" w:rsidR="004E3AAF" w:rsidRPr="004E3AAF" w:rsidRDefault="004E3AAF" w:rsidP="001A2C08">
      <w:pPr>
        <w:spacing w:after="240" w:line="240" w:lineRule="auto"/>
        <w:rPr>
          <w:rFonts w:cstheme="minorHAnsi"/>
          <w:bCs/>
          <w:sz w:val="20"/>
          <w:szCs w:val="20"/>
        </w:rPr>
      </w:pPr>
      <w:r w:rsidRPr="0098754D">
        <w:rPr>
          <w:rFonts w:cstheme="minorHAnsi"/>
          <w:bCs/>
          <w:noProof/>
          <w:sz w:val="20"/>
          <w:szCs w:val="20"/>
          <w:u w:val="single"/>
          <w:lang w:val="nl-NL"/>
        </w:rPr>
        <w:t>Volgnr</w:t>
      </w:r>
      <w:r>
        <w:rPr>
          <w:rFonts w:cstheme="minorHAnsi"/>
          <w:bCs/>
          <w:noProof/>
          <w:sz w:val="20"/>
          <w:szCs w:val="20"/>
          <w:lang w:val="nl-NL"/>
        </w:rPr>
        <w:t xml:space="preserve">. </w:t>
      </w:r>
      <w:r w:rsidR="0098754D">
        <w:rPr>
          <w:rFonts w:cstheme="minorHAnsi"/>
          <w:bCs/>
          <w:noProof/>
          <w:sz w:val="20"/>
          <w:szCs w:val="20"/>
          <w:lang w:val="nl-NL"/>
        </w:rPr>
        <w:t>1.00</w:t>
      </w:r>
    </w:p>
    <w:p w14:paraId="1D97C88B" w14:textId="77777777" w:rsidR="001A2C08" w:rsidRPr="00D1116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D1116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16018F1A" w14:textId="1FD0CAD6" w:rsidR="00F84F50" w:rsidRPr="00D1116F" w:rsidRDefault="00F84F50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A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koestisch</w:t>
      </w:r>
      <w:r w:rsidR="00D1116F" w:rsidRPr="00D1116F">
        <w:rPr>
          <w:rFonts w:cstheme="minorHAnsi"/>
          <w:noProof/>
          <w:sz w:val="20"/>
          <w:szCs w:val="20"/>
          <w:lang w:val="nl-NL"/>
        </w:rPr>
        <w:t xml:space="preserve"> </w:t>
      </w:r>
      <w:r w:rsidR="00D1116F">
        <w:rPr>
          <w:rFonts w:cstheme="minorHAnsi"/>
          <w:noProof/>
          <w:sz w:val="20"/>
          <w:szCs w:val="20"/>
          <w:lang w:val="nl-NL"/>
        </w:rPr>
        <w:t>gepatenteerd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 </w:t>
      </w:r>
      <w:r w:rsidRPr="00D1116F">
        <w:rPr>
          <w:rFonts w:cstheme="minorHAnsi"/>
          <w:noProof/>
          <w:sz w:val="20"/>
          <w:szCs w:val="20"/>
          <w:lang w:val="nl-NL"/>
        </w:rPr>
        <w:t>modulaire systeem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wand </w:t>
      </w:r>
      <w:r w:rsidR="00D1116F">
        <w:rPr>
          <w:rFonts w:cstheme="minorHAnsi"/>
          <w:noProof/>
          <w:sz w:val="20"/>
          <w:szCs w:val="20"/>
          <w:lang w:val="nl-NL"/>
        </w:rPr>
        <w:t>met clips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 bestaande uit een 40 mm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geluidabsorberende 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plaat</w:t>
      </w:r>
      <w:r w:rsidR="001A2C08" w:rsidRPr="00D1116F">
        <w:rPr>
          <w:rFonts w:cstheme="minorHAnsi"/>
          <w:sz w:val="20"/>
          <w:szCs w:val="20"/>
          <w:lang w:val="nl-NL"/>
        </w:rPr>
        <w:t xml:space="preserve"> 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op basis van onbrandbare en kiemvrije rotswol (geclassificeerd conform EU-richtlijn 97/69 noot Q)</w:t>
      </w:r>
      <w:r w:rsidRPr="00D1116F">
        <w:rPr>
          <w:rFonts w:cstheme="minorHAnsi"/>
          <w:noProof/>
          <w:sz w:val="20"/>
          <w:szCs w:val="20"/>
          <w:lang w:val="nl-NL"/>
        </w:rPr>
        <w:t xml:space="preserve"> met een Charcoal zwarte </w:t>
      </w:r>
      <w:r w:rsidR="00D1116F">
        <w:rPr>
          <w:rFonts w:cstheme="minorHAnsi"/>
          <w:noProof/>
          <w:sz w:val="20"/>
          <w:szCs w:val="20"/>
          <w:lang w:val="nl-NL"/>
        </w:rPr>
        <w:t>(NCS S 8500 N) afwerking</w:t>
      </w:r>
      <w:r w:rsidR="0084535B">
        <w:rPr>
          <w:rFonts w:cstheme="minorHAnsi"/>
          <w:noProof/>
          <w:sz w:val="20"/>
          <w:szCs w:val="20"/>
          <w:lang w:val="nl-NL"/>
        </w:rPr>
        <w:t>, g</w:t>
      </w:r>
      <w:r w:rsidRPr="00D1116F">
        <w:rPr>
          <w:rFonts w:cstheme="minorHAnsi"/>
          <w:noProof/>
          <w:sz w:val="20"/>
          <w:szCs w:val="20"/>
          <w:lang w:val="nl-NL"/>
        </w:rPr>
        <w:t>ecombineerd met houten lamellen afgewerkt met houtfineer.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  De houtfineer is beschikbaar in drie afwerkingen: Light Oak, Oak</w:t>
      </w:r>
      <w:r w:rsidR="0084535B">
        <w:rPr>
          <w:rFonts w:cstheme="minorHAnsi"/>
          <w:noProof/>
          <w:sz w:val="20"/>
          <w:szCs w:val="20"/>
          <w:lang w:val="nl-NL"/>
        </w:rPr>
        <w:t xml:space="preserve"> en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>Smoked Oak</w:t>
      </w:r>
      <w:r w:rsidR="0084535B">
        <w:rPr>
          <w:rFonts w:cstheme="minorHAnsi"/>
          <w:noProof/>
          <w:sz w:val="20"/>
          <w:szCs w:val="20"/>
          <w:lang w:val="nl-NL"/>
        </w:rPr>
        <w:t>.</w:t>
      </w:r>
    </w:p>
    <w:p w14:paraId="097641AA" w14:textId="77777777" w:rsidR="00F84F50" w:rsidRPr="00D1116F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6AC488D7" w14:textId="16EC4873" w:rsidR="001A2C08" w:rsidRPr="00D1116F" w:rsidRDefault="00BB35F6" w:rsidP="00C22102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 xml:space="preserve">De systeemwand is </w:t>
      </w:r>
      <w:r w:rsidR="00C22102" w:rsidRPr="00D1116F">
        <w:rPr>
          <w:rFonts w:cstheme="minorHAnsi"/>
          <w:noProof/>
          <w:sz w:val="20"/>
          <w:szCs w:val="20"/>
          <w:lang w:val="nl-NL"/>
        </w:rPr>
        <w:t>ee</w:t>
      </w:r>
      <w:r w:rsidR="00C22102">
        <w:rPr>
          <w:rFonts w:eastAsia="Times New Roman" w:cstheme="minorHAnsi"/>
          <w:color w:val="000000"/>
          <w:sz w:val="20"/>
          <w:szCs w:val="20"/>
        </w:rPr>
        <w:t>n</w:t>
      </w:r>
      <w:r w:rsidR="00C22102" w:rsidRPr="00BB35F6">
        <w:rPr>
          <w:rFonts w:eastAsia="Times New Roman" w:cstheme="minorHAnsi"/>
          <w:color w:val="000000"/>
          <w:sz w:val="20"/>
          <w:szCs w:val="20"/>
          <w:lang w:val="x-none"/>
        </w:rPr>
        <w:t>voudig</w:t>
      </w:r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</w:t>
      </w:r>
      <w:proofErr w:type="spellStart"/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>te</w:t>
      </w:r>
      <w:proofErr w:type="spellEnd"/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installeren dankzij </w:t>
      </w:r>
      <w:r w:rsidR="00457077">
        <w:rPr>
          <w:rFonts w:eastAsia="Times New Roman" w:cstheme="minorHAnsi"/>
          <w:color w:val="000000"/>
          <w:sz w:val="20"/>
          <w:szCs w:val="20"/>
        </w:rPr>
        <w:t>een</w:t>
      </w:r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</w:t>
      </w:r>
      <w:proofErr w:type="spellStart"/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>modulair</w:t>
      </w:r>
      <w:proofErr w:type="spellEnd"/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</w:t>
      </w:r>
      <w:proofErr w:type="spellStart"/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>systeem</w:t>
      </w:r>
      <w:proofErr w:type="spellEnd"/>
      <w:r w:rsidRPr="00BB35F6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>met clips</w:t>
      </w:r>
      <w:r w:rsidR="00251948">
        <w:rPr>
          <w:rFonts w:eastAsia="Times New Roman" w:cstheme="minorHAnsi"/>
          <w:color w:val="000000"/>
          <w:sz w:val="20"/>
          <w:szCs w:val="20"/>
        </w:rPr>
        <w:t xml:space="preserve"> volgens de instructies van de fabrikant</w:t>
      </w:r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>.</w:t>
      </w:r>
      <w:r w:rsidRPr="00BB35F6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De panelen worden bevestigd in een raster van horizontale profielen en verticale eindprofielen.  Voor wanden breder dan 2418 mm worden de horizontale profielen verbonden dmv </w:t>
      </w:r>
      <w:r w:rsidRPr="00D1116F">
        <w:rPr>
          <w:rFonts w:cstheme="minorHAnsi"/>
          <w:noProof/>
          <w:sz w:val="20"/>
          <w:szCs w:val="20"/>
          <w:lang w:val="nl-NL"/>
        </w:rPr>
        <w:t xml:space="preserve">verbindingsbeugels.  Na montage van de panelen, worden montageclips op de horizontale profielen geplaatst.  De </w:t>
      </w:r>
      <w:r w:rsidR="00C22102" w:rsidRPr="00D1116F">
        <w:rPr>
          <w:rFonts w:cstheme="minorHAnsi"/>
          <w:noProof/>
          <w:sz w:val="20"/>
          <w:szCs w:val="20"/>
          <w:lang w:val="nl-NL"/>
        </w:rPr>
        <w:t>plaatsbepaling van de clips gebeurt aan de hand  van ee</w:t>
      </w:r>
      <w:r w:rsidRPr="00D1116F">
        <w:rPr>
          <w:rFonts w:cstheme="minorHAnsi"/>
          <w:noProof/>
          <w:sz w:val="20"/>
          <w:szCs w:val="20"/>
          <w:lang w:val="nl-NL"/>
        </w:rPr>
        <w:t>n speciaal daarvoor ontworpen geleidingsregel.</w:t>
      </w:r>
      <w:r w:rsidR="00C22102" w:rsidRPr="00D1116F">
        <w:rPr>
          <w:rFonts w:cstheme="minorHAnsi"/>
          <w:noProof/>
          <w:sz w:val="20"/>
          <w:szCs w:val="20"/>
          <w:lang w:val="nl-NL"/>
        </w:rPr>
        <w:t xml:space="preserve">  </w:t>
      </w:r>
      <w:r w:rsidRPr="00D1116F">
        <w:rPr>
          <w:rFonts w:cstheme="minorHAnsi"/>
          <w:noProof/>
          <w:sz w:val="20"/>
          <w:szCs w:val="20"/>
          <w:lang w:val="nl-NL"/>
        </w:rPr>
        <w:t>De houten lamellen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 worden bevestigd </w:t>
      </w:r>
      <w:r w:rsidRPr="00D1116F">
        <w:rPr>
          <w:rFonts w:cstheme="minorHAnsi"/>
          <w:noProof/>
          <w:sz w:val="20"/>
          <w:szCs w:val="20"/>
          <w:lang w:val="nl-NL"/>
        </w:rPr>
        <w:t>op de clips.</w:t>
      </w:r>
    </w:p>
    <w:p w14:paraId="10C280D7" w14:textId="77777777" w:rsidR="001A2C08" w:rsidRPr="00D1116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10D57EC4" w14:textId="77777777" w:rsidR="001A2C08" w:rsidRPr="00D1116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D1116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Materiaal:</w:t>
      </w:r>
    </w:p>
    <w:p w14:paraId="799706BB" w14:textId="77777777" w:rsidR="004B7455" w:rsidRPr="00D1116F" w:rsidRDefault="000D3687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Moduulmaat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:</w:t>
      </w:r>
      <w:r w:rsidRPr="00D1116F">
        <w:rPr>
          <w:rFonts w:cstheme="minorHAnsi"/>
          <w:noProof/>
          <w:sz w:val="20"/>
          <w:szCs w:val="20"/>
          <w:lang w:val="nl-NL"/>
        </w:rPr>
        <w:t xml:space="preserve"> </w:t>
      </w:r>
    </w:p>
    <w:p w14:paraId="696CE3B1" w14:textId="31EA200E" w:rsidR="001A2C08" w:rsidRPr="00D1116F" w:rsidRDefault="000D3687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bookmarkStart w:id="0" w:name="_Hlk129172651"/>
      <w:r w:rsidRPr="00D1116F">
        <w:rPr>
          <w:rFonts w:cstheme="minorHAnsi"/>
          <w:noProof/>
          <w:sz w:val="20"/>
          <w:szCs w:val="20"/>
          <w:lang w:val="nl-NL"/>
        </w:rPr>
        <w:t xml:space="preserve">2418 mm x 2474 mm </w:t>
      </w:r>
      <w:bookmarkEnd w:id="0"/>
      <w:r w:rsidRPr="00D1116F">
        <w:rPr>
          <w:rFonts w:cstheme="minorHAnsi"/>
          <w:noProof/>
          <w:sz w:val="20"/>
          <w:szCs w:val="20"/>
          <w:lang w:val="nl-NL"/>
        </w:rPr>
        <w:t>(BxH)</w:t>
      </w:r>
    </w:p>
    <w:p w14:paraId="7DDC971E" w14:textId="77777777" w:rsidR="004B7455" w:rsidRPr="000D3687" w:rsidRDefault="004B7455" w:rsidP="001A2C08">
      <w:pPr>
        <w:spacing w:after="0" w:line="240" w:lineRule="auto"/>
        <w:rPr>
          <w:rFonts w:cstheme="minorHAnsi"/>
          <w:sz w:val="20"/>
          <w:szCs w:val="20"/>
          <w:lang w:val="x-none"/>
        </w:rPr>
      </w:pPr>
    </w:p>
    <w:p w14:paraId="1E3D71C5" w14:textId="77777777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De houtfineerlatten zijn beschikbaar is 3 formaten:</w:t>
      </w:r>
    </w:p>
    <w:p w14:paraId="7C568025" w14:textId="05F670F3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34 mm breed x 30 mm dik  (2474 mm lang)</w:t>
      </w:r>
    </w:p>
    <w:p w14:paraId="1D7EFADD" w14:textId="5A57C4D6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39 mm breed x 21 mm dik  (2474 mm lang)</w:t>
      </w:r>
    </w:p>
    <w:p w14:paraId="77C1702E" w14:textId="1CF05D6C" w:rsidR="001A2C08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44 mm breed x 12 mm dik  (2474 mm lang)</w:t>
      </w:r>
    </w:p>
    <w:p w14:paraId="0B409A4C" w14:textId="486C10F4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74D33515" w14:textId="77777777" w:rsidR="000D3687" w:rsidRPr="00D1116F" w:rsidRDefault="000D3687" w:rsidP="000D3687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2F98015" w14:textId="220BCE90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De wandpanelen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066D92C" w14:textId="77777777" w:rsidR="001A2C08" w:rsidRPr="00D1116F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3CAF097D" w:rsidR="001A2C08" w:rsidRPr="00124C5F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Geluidabsorptie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C894166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wandpanelen als voor te leggen monstermateriaal. </w:t>
      </w:r>
    </w:p>
    <w:p w14:paraId="089E8CDF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929"/>
        <w:gridCol w:w="772"/>
        <w:gridCol w:w="708"/>
        <w:gridCol w:w="709"/>
        <w:gridCol w:w="709"/>
        <w:gridCol w:w="709"/>
        <w:gridCol w:w="425"/>
      </w:tblGrid>
      <w:tr w:rsidR="00C22102" w:rsidRPr="00457077" w14:paraId="6E485F1F" w14:textId="5C598440" w:rsidTr="00251948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458EFDEF" w14:textId="0FCD211F" w:rsidR="00C22102" w:rsidRPr="00457077" w:rsidRDefault="0098754D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Afmetingen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B09923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EF88F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4E67315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7DDCCB8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303AC6C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FA958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5D42CD" w14:textId="4BA6C4D3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noProof/>
                <w:sz w:val="20"/>
                <w:szCs w:val="20"/>
                <w:lang w:val="de-DE"/>
              </w:rPr>
              <w:t>alfa-w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3BA56D" w14:textId="44014834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57077">
              <w:rPr>
                <w:rFonts w:cstheme="minorHAnsi"/>
                <w:sz w:val="20"/>
                <w:szCs w:val="20"/>
                <w:lang w:val="fr-FR"/>
              </w:rPr>
              <w:t>absorptieklasse</w:t>
            </w:r>
            <w:proofErr w:type="spellEnd"/>
            <w:proofErr w:type="gram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3371F9" w14:textId="196A647A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C22102" w:rsidRPr="00457077" w14:paraId="75CBB0B2" w14:textId="5DA85EC8" w:rsidTr="00251948">
        <w:trPr>
          <w:cantSplit/>
        </w:trPr>
        <w:tc>
          <w:tcPr>
            <w:tcW w:w="2689" w:type="dxa"/>
            <w:tcBorders>
              <w:bottom w:val="nil"/>
            </w:tcBorders>
          </w:tcPr>
          <w:p w14:paraId="3BB157C4" w14:textId="3C28448C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Rockfon </w:t>
            </w:r>
            <w:proofErr w:type="spellStart"/>
            <w:r w:rsidRPr="00457077">
              <w:rPr>
                <w:rFonts w:cstheme="minorHAnsi"/>
                <w:color w:val="000000"/>
                <w:sz w:val="20"/>
                <w:szCs w:val="20"/>
              </w:rPr>
              <w:t>Lamella</w:t>
            </w:r>
            <w:proofErr w:type="spellEnd"/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 34x30 mm + absorberend paneel 40 mm</w:t>
            </w:r>
          </w:p>
        </w:tc>
        <w:tc>
          <w:tcPr>
            <w:tcW w:w="850" w:type="dxa"/>
            <w:tcBorders>
              <w:bottom w:val="nil"/>
            </w:tcBorders>
          </w:tcPr>
          <w:p w14:paraId="12B36464" w14:textId="2F8F979F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bottom w:val="nil"/>
            </w:tcBorders>
          </w:tcPr>
          <w:p w14:paraId="5C843C35" w14:textId="6960B004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29" w:type="dxa"/>
            <w:tcBorders>
              <w:bottom w:val="nil"/>
            </w:tcBorders>
          </w:tcPr>
          <w:p w14:paraId="0BC25128" w14:textId="6022E0AC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bottom w:val="nil"/>
            </w:tcBorders>
          </w:tcPr>
          <w:p w14:paraId="6B3AD261" w14:textId="0EEDFE77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bottom w:val="nil"/>
            </w:tcBorders>
          </w:tcPr>
          <w:p w14:paraId="763DE146" w14:textId="6DF13A7E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bottom w:val="nil"/>
            </w:tcBorders>
          </w:tcPr>
          <w:p w14:paraId="44A7D60E" w14:textId="5D10017C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bottom w:val="nil"/>
            </w:tcBorders>
          </w:tcPr>
          <w:p w14:paraId="4640C296" w14:textId="44E1CB1B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bottom w:val="nil"/>
            </w:tcBorders>
          </w:tcPr>
          <w:p w14:paraId="118E2EED" w14:textId="2FDE60EF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bottom w:val="nil"/>
            </w:tcBorders>
          </w:tcPr>
          <w:p w14:paraId="1F490C47" w14:textId="013982F3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C22102" w:rsidRPr="00457077" w14:paraId="1816DBA6" w14:textId="77777777" w:rsidTr="00251948">
        <w:trPr>
          <w:cantSplit/>
        </w:trPr>
        <w:tc>
          <w:tcPr>
            <w:tcW w:w="2689" w:type="dxa"/>
            <w:tcBorders>
              <w:top w:val="nil"/>
              <w:bottom w:val="nil"/>
            </w:tcBorders>
          </w:tcPr>
          <w:p w14:paraId="302014E2" w14:textId="2FE3539D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Rockfon </w:t>
            </w:r>
            <w:proofErr w:type="spellStart"/>
            <w:r w:rsidRPr="00457077">
              <w:rPr>
                <w:rFonts w:cstheme="minorHAnsi"/>
                <w:color w:val="000000"/>
                <w:sz w:val="20"/>
                <w:szCs w:val="20"/>
              </w:rPr>
              <w:t>Lamella</w:t>
            </w:r>
            <w:proofErr w:type="spellEnd"/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 39x21 mm + absorberend paneel 40 mm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CDFB0A" w14:textId="385B7EA1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E249FC6" w14:textId="42550A21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E125368" w14:textId="659EEA33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14:paraId="5016ACE0" w14:textId="2ED6C72D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F2DD07" w14:textId="2727BE74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160C3D" w14:textId="44AA2E10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E070ED" w14:textId="118705E3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91C19" w14:textId="19601C32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97C96A" w14:textId="1726723F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C22102" w:rsidRPr="00457077" w14:paraId="0F5FD911" w14:textId="77777777" w:rsidTr="00251948">
        <w:trPr>
          <w:cantSplit/>
        </w:trPr>
        <w:tc>
          <w:tcPr>
            <w:tcW w:w="2689" w:type="dxa"/>
            <w:tcBorders>
              <w:top w:val="nil"/>
            </w:tcBorders>
          </w:tcPr>
          <w:p w14:paraId="78B50E92" w14:textId="5D15E692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Rockfon </w:t>
            </w:r>
            <w:proofErr w:type="spellStart"/>
            <w:r w:rsidRPr="00457077">
              <w:rPr>
                <w:rFonts w:cstheme="minorHAnsi"/>
                <w:color w:val="000000"/>
                <w:sz w:val="20"/>
                <w:szCs w:val="20"/>
              </w:rPr>
              <w:t>Lamella</w:t>
            </w:r>
            <w:proofErr w:type="spellEnd"/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 44x12 mm + absorberend paneel 40 mm</w:t>
            </w:r>
          </w:p>
        </w:tc>
        <w:tc>
          <w:tcPr>
            <w:tcW w:w="850" w:type="dxa"/>
            <w:tcBorders>
              <w:top w:val="nil"/>
            </w:tcBorders>
          </w:tcPr>
          <w:p w14:paraId="54FD0075" w14:textId="7B9B180F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nil"/>
            </w:tcBorders>
          </w:tcPr>
          <w:p w14:paraId="09077E5F" w14:textId="2825D7D0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29" w:type="dxa"/>
            <w:tcBorders>
              <w:top w:val="nil"/>
            </w:tcBorders>
          </w:tcPr>
          <w:p w14:paraId="7F87AB45" w14:textId="60434CDB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</w:tcBorders>
          </w:tcPr>
          <w:p w14:paraId="12C26F14" w14:textId="3E6BD329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nil"/>
            </w:tcBorders>
          </w:tcPr>
          <w:p w14:paraId="482C133A" w14:textId="4D1ECFE0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09" w:type="dxa"/>
            <w:tcBorders>
              <w:top w:val="nil"/>
            </w:tcBorders>
          </w:tcPr>
          <w:p w14:paraId="5DEA846A" w14:textId="1A5926DB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nil"/>
            </w:tcBorders>
          </w:tcPr>
          <w:p w14:paraId="08E6C960" w14:textId="18F79FB6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09" w:type="dxa"/>
            <w:tcBorders>
              <w:top w:val="nil"/>
            </w:tcBorders>
          </w:tcPr>
          <w:p w14:paraId="18C82CD0" w14:textId="72850F5D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nil"/>
            </w:tcBorders>
          </w:tcPr>
          <w:p w14:paraId="526BDF3C" w14:textId="75AB5725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</w:tbl>
    <w:p w14:paraId="2246A629" w14:textId="77777777" w:rsidR="001A2C08" w:rsidRPr="00001EEF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B61325D" w14:textId="718CABFD" w:rsidR="001A2C08" w:rsidRPr="00124C5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</w:rPr>
        <w:t>Brandreactie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2AD5C77E" w14:textId="4A5C4B2D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panelen zijn geclassificeerd CE Klasse </w:t>
      </w:r>
      <w:r w:rsidR="00C22102" w:rsidRPr="00C22102">
        <w:rPr>
          <w:rFonts w:cstheme="minorHAnsi"/>
          <w:noProof/>
          <w:sz w:val="20"/>
          <w:szCs w:val="20"/>
        </w:rPr>
        <w:t>C-s2,d0</w:t>
      </w:r>
      <w:r w:rsidRPr="00B02DE3">
        <w:rPr>
          <w:rFonts w:cstheme="minorHAnsi"/>
          <w:noProof/>
          <w:sz w:val="20"/>
          <w:szCs w:val="20"/>
        </w:rPr>
        <w:t xml:space="preserve"> volgens EN 13501-1</w:t>
      </w:r>
      <w:r w:rsidR="00C22102">
        <w:rPr>
          <w:rFonts w:cstheme="minorHAnsi"/>
          <w:noProof/>
          <w:sz w:val="20"/>
          <w:szCs w:val="20"/>
        </w:rPr>
        <w:t xml:space="preserve"> (volledige systeem)</w:t>
      </w:r>
    </w:p>
    <w:p w14:paraId="6652FEF8" w14:textId="77777777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C41323B" w14:textId="77777777" w:rsidR="00D1116F" w:rsidRDefault="00D1116F" w:rsidP="001A2C08">
      <w:pPr>
        <w:spacing w:after="0" w:line="240" w:lineRule="auto"/>
        <w:rPr>
          <w:rFonts w:cstheme="minorHAnsi"/>
          <w:noProof/>
          <w:sz w:val="20"/>
          <w:szCs w:val="20"/>
          <w:lang w:eastAsia="zh-CN"/>
        </w:rPr>
      </w:pPr>
    </w:p>
    <w:p w14:paraId="4359E329" w14:textId="77777777" w:rsidR="00D1116F" w:rsidRDefault="00D1116F" w:rsidP="001A2C08">
      <w:pPr>
        <w:spacing w:after="0" w:line="240" w:lineRule="auto"/>
        <w:rPr>
          <w:rFonts w:cstheme="minorHAnsi"/>
          <w:noProof/>
          <w:sz w:val="20"/>
          <w:szCs w:val="20"/>
          <w:lang w:eastAsia="zh-CN"/>
        </w:rPr>
      </w:pPr>
    </w:p>
    <w:p w14:paraId="209AADD3" w14:textId="22B414BF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lastRenderedPageBreak/>
        <w:t>Reinigbaarheid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:</w:t>
      </w:r>
    </w:p>
    <w:p w14:paraId="690B4520" w14:textId="0D3B0FF8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wandpanelen kunnen schoongemaakt worden met behulp van een stofzuiger met een verlengstuk met een zachte borstel</w:t>
      </w:r>
      <w:r w:rsidR="00C22102">
        <w:rPr>
          <w:rFonts w:cstheme="minorHAnsi"/>
          <w:noProof/>
          <w:sz w:val="20"/>
          <w:szCs w:val="20"/>
        </w:rPr>
        <w:t>.</w:t>
      </w:r>
    </w:p>
    <w:p w14:paraId="7067D5C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6970B8AE" w14:textId="6CD0D624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sz w:val="20"/>
          <w:szCs w:val="20"/>
          <w:u w:val="single"/>
        </w:rPr>
        <w:t>Hygiëne</w:t>
      </w:r>
      <w:r w:rsidR="00124C5F" w:rsidRPr="00124C5F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0A3A8412" w14:textId="22AADBB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E535D41" w14:textId="4F00CD4D" w:rsidR="00457077" w:rsidRPr="00124C5F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</w:rPr>
        <w:t>Binnenklimaat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4DA1B099" w:rsidR="001A2C08" w:rsidRPr="00124C5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77777777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414724C2" w14:textId="77777777" w:rsidR="001A2C08" w:rsidRPr="00D33B77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5C7C20C2" w14:textId="210B6801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sz w:val="20"/>
          <w:szCs w:val="20"/>
          <w:u w:val="single"/>
        </w:rPr>
        <w:t>Levensduur</w:t>
      </w:r>
      <w:r w:rsidR="00124C5F" w:rsidRPr="00124C5F">
        <w:rPr>
          <w:rFonts w:cstheme="minorHAnsi"/>
          <w:b/>
          <w:bCs/>
          <w:sz w:val="20"/>
          <w:szCs w:val="20"/>
          <w:u w:val="single"/>
        </w:rPr>
        <w:t>:</w:t>
      </w:r>
    </w:p>
    <w:p w14:paraId="21019203" w14:textId="77777777" w:rsidR="001A2C08" w:rsidRPr="00B02DE3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panelen dient een productgarantie voor te leggen voor 15 jaar. </w:t>
      </w:r>
    </w:p>
    <w:p w14:paraId="544B4745" w14:textId="7AD5C1A4" w:rsidR="001A2C08" w:rsidRPr="00A575EC" w:rsidRDefault="00D1116F" w:rsidP="001A2C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Houten lamellen en houtfineer zijn FSC MIX 70% gecertificeerd. </w:t>
      </w:r>
    </w:p>
    <w:p w14:paraId="66F9F529" w14:textId="79D611ED" w:rsidR="001A2C08" w:rsidRPr="00347713" w:rsidRDefault="001A2C08" w:rsidP="0045707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47713">
        <w:rPr>
          <w:rFonts w:cstheme="minorHAnsi"/>
          <w:noProof/>
          <w:sz w:val="20"/>
          <w:szCs w:val="20"/>
        </w:rPr>
        <w:t xml:space="preserve">Cradle to Cradle Certified® : </w:t>
      </w:r>
      <w:r w:rsidR="00457077" w:rsidRPr="00347713">
        <w:rPr>
          <w:rFonts w:cstheme="minorHAnsi"/>
          <w:noProof/>
          <w:sz w:val="20"/>
          <w:szCs w:val="20"/>
        </w:rPr>
        <w:t>Silver &amp; Bronze (afhankelijk van het product type).</w:t>
      </w:r>
    </w:p>
    <w:p w14:paraId="1E3F1098" w14:textId="529DAAB1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Rockcycle® zorgt voor de inzameling en recycling van gebruikte steenwol op de bouwplaats.</w:t>
      </w:r>
    </w:p>
    <w:p w14:paraId="746C63DE" w14:textId="7777777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proofErr w:type="gramStart"/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  <w:proofErr w:type="gramEnd"/>
    </w:p>
    <w:p w14:paraId="1FEF15C3" w14:textId="5DABF5E2" w:rsidR="006A1F31" w:rsidRDefault="001A2C08" w:rsidP="0084535B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DE91" w14:textId="77777777" w:rsidR="00F828AE" w:rsidRDefault="00F828AE">
      <w:pPr>
        <w:spacing w:after="0" w:line="240" w:lineRule="auto"/>
      </w:pPr>
      <w:r>
        <w:separator/>
      </w:r>
    </w:p>
  </w:endnote>
  <w:endnote w:type="continuationSeparator" w:id="0">
    <w:p w14:paraId="0FC35AC2" w14:textId="77777777" w:rsidR="00F828AE" w:rsidRDefault="00F8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5D6" w14:textId="2F8B312D" w:rsidR="0095166A" w:rsidRPr="00D256F1" w:rsidRDefault="001A2C08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347713">
      <w:rPr>
        <w:noProof/>
        <w:sz w:val="16"/>
        <w:szCs w:val="16"/>
      </w:rPr>
      <w:t>27/02</w:t>
    </w:r>
    <w:r>
      <w:rPr>
        <w:noProof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3846" w14:textId="77777777" w:rsidR="00F828AE" w:rsidRDefault="00F828AE">
      <w:pPr>
        <w:spacing w:after="0" w:line="240" w:lineRule="auto"/>
      </w:pPr>
      <w:r>
        <w:separator/>
      </w:r>
    </w:p>
  </w:footnote>
  <w:footnote w:type="continuationSeparator" w:id="0">
    <w:p w14:paraId="5D29C835" w14:textId="77777777" w:rsidR="00F828AE" w:rsidRDefault="00F82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D3687"/>
    <w:rsid w:val="00124C5F"/>
    <w:rsid w:val="001A2C08"/>
    <w:rsid w:val="00251948"/>
    <w:rsid w:val="00347713"/>
    <w:rsid w:val="00457077"/>
    <w:rsid w:val="004B7455"/>
    <w:rsid w:val="004E3AAF"/>
    <w:rsid w:val="00507D16"/>
    <w:rsid w:val="005C2D60"/>
    <w:rsid w:val="006A1F31"/>
    <w:rsid w:val="0084535B"/>
    <w:rsid w:val="00983555"/>
    <w:rsid w:val="0098754D"/>
    <w:rsid w:val="00B637F5"/>
    <w:rsid w:val="00BB35F6"/>
    <w:rsid w:val="00C22102"/>
    <w:rsid w:val="00D1116F"/>
    <w:rsid w:val="00D52B35"/>
    <w:rsid w:val="00F828AE"/>
    <w:rsid w:val="00F82B65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Erik Gubbels</cp:lastModifiedBy>
  <cp:revision>6</cp:revision>
  <dcterms:created xsi:type="dcterms:W3CDTF">2023-03-20T11:43:00Z</dcterms:created>
  <dcterms:modified xsi:type="dcterms:W3CDTF">2023-03-21T08:21:00Z</dcterms:modified>
</cp:coreProperties>
</file>